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AC0" w:rsidRPr="00324AC0" w:rsidRDefault="00324AC0" w:rsidP="00324AC0">
      <w:pPr>
        <w:spacing w:after="0" w:line="351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</w:pPr>
      <w:r w:rsidRPr="00324AC0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VI. Размещение остановочных пунктов маршрутов регулярных перевозок</w:t>
      </w:r>
    </w:p>
    <w:p w:rsidR="00324AC0" w:rsidRPr="00324AC0" w:rsidRDefault="00324AC0" w:rsidP="00324A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AC0" w:rsidRPr="00324AC0" w:rsidRDefault="00324AC0" w:rsidP="00324AC0">
      <w:pPr>
        <w:spacing w:after="0" w:line="293" w:lineRule="atLeast"/>
        <w:rPr>
          <w:rFonts w:ascii="Arial" w:eastAsia="Times New Roman" w:hAnsi="Arial" w:cs="Arial"/>
          <w:color w:val="3C5F87"/>
          <w:sz w:val="23"/>
          <w:szCs w:val="23"/>
          <w:u w:val="single"/>
          <w:bdr w:val="none" w:sz="0" w:space="0" w:color="auto" w:frame="1"/>
          <w:lang w:eastAsia="ru-RU"/>
        </w:rPr>
      </w:pPr>
      <w:r w:rsidRPr="00324A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fldChar w:fldCharType="begin"/>
      </w:r>
      <w:r w:rsidRPr="00324A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instrText xml:space="preserve"> HYPERLINK "https://ads.adfox.ru/317061/clickURL?ad-session-id=8215831698207342986&amp;hash=1d19cf8e03ea4c67&amp;sj=aU6QlmqvFIZXqX_CYCR6jhOk7JUGiK8kiQS6OIA_0gDcZICtzSynDPpBJiLN&amp;rand=lyjhrts&amp;rqs=OVQVG-S0kQfClzhl3ViOU0V7mwhcQqsI&amp;pr=natxlzc&amp;p1=cnxos&amp;ytt=28587302453253&amp;p5=ivyqa&amp;ybv=0.895028&amp;p2=harn&amp;ylv=0.895028&amp;pf=https%3A%2F%2Flogin.consultant.ru%2Fdemo-access%2F%3Futm_campaign%3Ddemo-access%26utm_source%3Dsudactru%26utm_medium%3Dbanner%26utm_content%3Dregistration%26utm_term%3D970-250_banner_top" \t "_blank" </w:instrText>
      </w:r>
      <w:r w:rsidRPr="00324A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fldChar w:fldCharType="separate"/>
      </w:r>
      <w:r w:rsidRPr="00324AC0">
        <w:rPr>
          <w:rFonts w:ascii="Arial" w:eastAsia="Times New Roman" w:hAnsi="Arial" w:cs="Arial"/>
          <w:noProof/>
          <w:color w:val="3C5F87"/>
          <w:sz w:val="23"/>
          <w:szCs w:val="23"/>
          <w:bdr w:val="none" w:sz="0" w:space="0" w:color="auto" w:frame="1"/>
          <w:lang w:eastAsia="ru-RU"/>
        </w:rPr>
        <w:drawing>
          <wp:inline distT="0" distB="0" distL="0" distR="0" wp14:anchorId="65D93FF5" wp14:editId="5A778EE4">
            <wp:extent cx="8572500" cy="1143000"/>
            <wp:effectExtent l="0" t="0" r="0" b="0"/>
            <wp:docPr id="1" name="Рисунок 1" descr="https://avatars.mds.yandex.net/get-adfox-content/2815276/230402_adfox_1396390_4041544.60da7b46971f08f9cd404d7c1a9f5897.gif/optimize.webp?webp=false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adfox-content/2815276/230402_adfox_1396390_4041544.60da7b46971f08f9cd404d7c1a9f5897.gif/optimize.webp?webp=false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AC0" w:rsidRPr="00324AC0" w:rsidRDefault="00324AC0" w:rsidP="00324AC0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A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fldChar w:fldCharType="end"/>
      </w:r>
    </w:p>
    <w:p w:rsidR="00324AC0" w:rsidRPr="00324AC0" w:rsidRDefault="00324AC0" w:rsidP="00324A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AC0" w:rsidRPr="00324AC0" w:rsidRDefault="00324AC0" w:rsidP="00324AC0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0" w:name="100534"/>
      <w:bookmarkStart w:id="1" w:name="100535"/>
      <w:bookmarkEnd w:id="0"/>
      <w:bookmarkEnd w:id="1"/>
      <w:r w:rsidRPr="00324AC0">
        <w:rPr>
          <w:rFonts w:ascii="Arial" w:eastAsia="Times New Roman" w:hAnsi="Arial" w:cs="Arial"/>
          <w:color w:val="000000"/>
          <w:sz w:val="23"/>
          <w:szCs w:val="23"/>
          <w:highlight w:val="yellow"/>
          <w:lang w:eastAsia="ru-RU"/>
        </w:rPr>
        <w:t>При выборе мест для размещения остановочных пунктов надо находить оптимальные решения при противоречивых требованиях: создания удобства для пассажиров - с одной стороны, и минимальных помех для транспортного потока - с другой.</w:t>
      </w:r>
      <w:bookmarkStart w:id="2" w:name="_GoBack"/>
      <w:bookmarkEnd w:id="2"/>
    </w:p>
    <w:p w:rsidR="00324AC0" w:rsidRPr="00324AC0" w:rsidRDefault="00324AC0" w:rsidP="00324AC0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3" w:name="100536"/>
      <w:bookmarkEnd w:id="3"/>
      <w:r w:rsidRPr="00324A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Эти противоречия особенно проявляются в зоне пересечения магистральных улиц, где необходимы остановочные пункты в связи с интенсивными потоками людей по каждой из магистралей, а также с пересадками их с одного маршрута на другой.</w:t>
      </w:r>
    </w:p>
    <w:p w:rsidR="00324AC0" w:rsidRPr="00324AC0" w:rsidRDefault="00324AC0" w:rsidP="00324AC0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4" w:name="100537"/>
      <w:bookmarkEnd w:id="4"/>
      <w:r w:rsidRPr="00324A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Основные условия, которые должны по возможности обеспечиваться при выборе места остановочного пункта:</w:t>
      </w:r>
    </w:p>
    <w:p w:rsidR="00324AC0" w:rsidRPr="00324AC0" w:rsidRDefault="00324AC0" w:rsidP="00324AC0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5" w:name="100538"/>
      <w:bookmarkEnd w:id="5"/>
      <w:r w:rsidRPr="00324A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расположение в узлах пешеходных потоков для максимизации пассажирооборота;</w:t>
      </w:r>
    </w:p>
    <w:p w:rsidR="00324AC0" w:rsidRPr="00324AC0" w:rsidRDefault="00324AC0" w:rsidP="00324AC0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6" w:name="100539"/>
      <w:bookmarkEnd w:id="6"/>
      <w:r w:rsidRPr="00324A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сокращение расстояния пешеходного подхода к основным объектам тяготения;</w:t>
      </w:r>
    </w:p>
    <w:p w:rsidR="00324AC0" w:rsidRPr="00324AC0" w:rsidRDefault="00324AC0" w:rsidP="00324AC0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7" w:name="100540"/>
      <w:bookmarkEnd w:id="7"/>
      <w:r w:rsidRPr="00324A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сокращение времени пересадки;</w:t>
      </w:r>
    </w:p>
    <w:p w:rsidR="00324AC0" w:rsidRPr="00324AC0" w:rsidRDefault="00324AC0" w:rsidP="00324AC0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8" w:name="100541"/>
      <w:bookmarkEnd w:id="8"/>
      <w:r w:rsidRPr="00324A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гарантия безопасности движения основного потока людей, пользующихся данным маршрутом транспорта;</w:t>
      </w:r>
    </w:p>
    <w:p w:rsidR="00324AC0" w:rsidRPr="00324AC0" w:rsidRDefault="00324AC0" w:rsidP="00324AC0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9" w:name="100542"/>
      <w:bookmarkEnd w:id="9"/>
      <w:r w:rsidRPr="00324A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создание минимальных помех для преобладающих направлений транспортных потоков.</w:t>
      </w:r>
    </w:p>
    <w:p w:rsidR="00324AC0" w:rsidRPr="00324AC0" w:rsidRDefault="00324AC0" w:rsidP="00324AC0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0" w:name="100543"/>
      <w:bookmarkEnd w:id="10"/>
      <w:r w:rsidRPr="00324A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Следовательно, правильный выбор мест для остановочных пунктов может быть сделан лишь на основе изучения характера преобладающих пешеходных и транспортных потоков и расположения объектов тяготения.</w:t>
      </w:r>
    </w:p>
    <w:p w:rsidR="00324AC0" w:rsidRPr="00324AC0" w:rsidRDefault="00324AC0" w:rsidP="00324AC0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1" w:name="100544"/>
      <w:bookmarkEnd w:id="11"/>
      <w:r w:rsidRPr="00324A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 наличии многорядного движения для безрельсового маршрутного пассажирского транспорта большую безопасность пассажиров, направляющихся на переход, обеспечивает остановочный пункт, расположенный за пересечением улиц и пешеходным переходом. Однако при наличии мощного объекта тяготения, например</w:t>
      </w:r>
      <w:proofErr w:type="gramStart"/>
      <w:r w:rsidRPr="00324A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</w:t>
      </w:r>
      <w:proofErr w:type="gramEnd"/>
      <w:r w:rsidRPr="00324A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торгового центра, станции метрополитена, более целесообразным будет расположение остановочного пункта, обеспечивающего к нему доступ пассажиров без пересечения улиц.</w:t>
      </w:r>
    </w:p>
    <w:p w:rsidR="00324AC0" w:rsidRPr="00324AC0" w:rsidRDefault="00324AC0" w:rsidP="00324AC0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2" w:name="100545"/>
      <w:bookmarkEnd w:id="12"/>
      <w:r w:rsidRPr="00324A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Остановочные пункты трамвая, путь которого проложен посредине улицы, по условиям безопасности следует располагать перед пересечением. Если при этом необходимо разместить и остановочные пункты безрельсового пассажирского транспорта, то их следует удалять от остановочного пункта трамвая не менее чем на 30 м, а от перекрестка - на расстояние до 100 м. Это особенно необходимо при значительном правоповоротном потоке на перекрестке. Если возможно сделать уширение проезжей части в зоне городских перекрестков, удается совместить остановочный пункт автобуса и трамвая с общим пешеходным переходом. В ряде случаев может быть устроена совмещенная посадочная площадка рельсового и безрельсового пассажирского транспорта общего пользования, обслуживаемая одним пешеходным переходом.</w:t>
      </w:r>
    </w:p>
    <w:p w:rsidR="00324AC0" w:rsidRPr="00324AC0" w:rsidRDefault="00324AC0" w:rsidP="00324AC0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3" w:name="100546"/>
      <w:bookmarkEnd w:id="13"/>
      <w:r w:rsidRPr="00324A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Расстояние между остановочными пунктами на линиях пассажирского транспорта общего пользования должно приниматься в пределах населенных пунктов для </w:t>
      </w:r>
      <w:r w:rsidRPr="00324A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автобусов, троллейбусов и трамваев 400 - 600 м, экспрессных автобусов и скоростных трамваев 800 - 1200 м.</w:t>
      </w:r>
    </w:p>
    <w:p w:rsidR="00324AC0" w:rsidRPr="00324AC0" w:rsidRDefault="00324AC0" w:rsidP="00324AC0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4" w:name="100547"/>
      <w:bookmarkEnd w:id="14"/>
      <w:r w:rsidRPr="00324A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Если на магистрали устроены пешеходные переходы в разных уровнях, остановочные пункты должны быть максимально приближены к ним и сообщаться достаточным по ширине тротуаром. При этом во избежание выхода людей на проезжую часть дороги, на подходах к остановочному пункту необходимо устанавливать ограждения.</w:t>
      </w:r>
    </w:p>
    <w:p w:rsidR="00324AC0" w:rsidRPr="00324AC0" w:rsidRDefault="00324AC0" w:rsidP="00324AC0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5" w:name="100548"/>
      <w:bookmarkEnd w:id="15"/>
      <w:r w:rsidRPr="00324A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Общие технические требования к элементам автобусных остановок, правилам их размещения на автомобильных дорогах и их обустройству техническими средствами организации дорожного движения определяет стандарт отрасли </w:t>
      </w:r>
      <w:hyperlink r:id="rId7" w:history="1">
        <w:r w:rsidRPr="00324AC0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ОСТ 218.1.002-2003</w:t>
        </w:r>
      </w:hyperlink>
      <w:r w:rsidRPr="00324A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"Автобусные остановки на автомобильных дорогах".</w:t>
      </w:r>
    </w:p>
    <w:p w:rsidR="00324AC0" w:rsidRPr="00324AC0" w:rsidRDefault="00324AC0" w:rsidP="00324AC0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6" w:name="100549"/>
      <w:bookmarkEnd w:id="16"/>
      <w:r w:rsidRPr="00324A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Длина посадочной площадки (зоны тротуара, занимаемой остановочным пунктом) должна соответствовать преобладающему типу эксплуатируемых транспортных средств и частоте их движения.</w:t>
      </w:r>
    </w:p>
    <w:p w:rsidR="00324AC0" w:rsidRPr="00324AC0" w:rsidRDefault="00324AC0" w:rsidP="00324AC0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7" w:name="100797"/>
      <w:bookmarkEnd w:id="17"/>
      <w:r w:rsidRPr="00324A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Так, для одиночных автобусов и троллейбусов при частоте движения до 15 ед./</w:t>
      </w:r>
      <w:proofErr w:type="gramStart"/>
      <w:r w:rsidRPr="00324A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</w:t>
      </w:r>
      <w:proofErr w:type="gramEnd"/>
      <w:r w:rsidRPr="00324A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достаточна длина 15 м, при частоте свыше 15 ед./ч и в других случаях, когда следует рассчитывать на возможность прибытия одновременно двух транспортных средств, длина должна быть увеличена до 35 - 40 м.</w:t>
      </w:r>
    </w:p>
    <w:p w:rsidR="00324AC0" w:rsidRPr="00324AC0" w:rsidRDefault="00324AC0" w:rsidP="00324AC0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8" w:name="100798"/>
      <w:bookmarkEnd w:id="18"/>
      <w:r w:rsidRPr="00324AC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 использовании сочлененных троллейбусов и автобусов минимальная длина посадочной площадки 20 м, а при расчете на два одновременно останавливающихся транспортных средства - 45 м.</w:t>
      </w:r>
    </w:p>
    <w:p w:rsidR="00BD449A" w:rsidRDefault="00BD449A"/>
    <w:sectPr w:rsidR="00BD4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277"/>
    <w:rsid w:val="00324AC0"/>
    <w:rsid w:val="0089600E"/>
    <w:rsid w:val="009E2277"/>
    <w:rsid w:val="00BD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4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4A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4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4A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3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exp:14429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hyperlink" Target="https://ads.adfox.ru/317061/clickURL?ad-session-id=8215831698207342986&amp;hash=1d19cf8e03ea4c67&amp;sj=aU6QlmqvFIZXqX_CYCR6jhOk7JUGiK8kiQS6OIA_0gDcZICtzSynDPpBJiLN&amp;rand=lyjhrts&amp;rqs=OVQVG-S0kQfClzhl3ViOU0V7mwhcQqsI&amp;pr=natxlzc&amp;p1=cnxos&amp;ytt=28587302453253&amp;p5=ivyqa&amp;ybv=0.895028&amp;p2=harn&amp;ylv=0.895028&amp;pf=https://login.consultant.ru/demo-access/?utm_campaign%3Ddemo-access%26utm_source%3Dsudactru%26utm_medium%3Dbanner%26utm_content%3Dregistration%26utm_term%3D970-250_banner_to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661</Words>
  <Characters>3773</Characters>
  <Application>Microsoft Office Word</Application>
  <DocSecurity>0</DocSecurity>
  <Lines>31</Lines>
  <Paragraphs>8</Paragraphs>
  <ScaleCrop>false</ScaleCrop>
  <Company/>
  <LinksUpToDate>false</LinksUpToDate>
  <CharactersWithSpaces>4426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2023-10-25T04:17:00Z</dcterms:created>
  <dcterms:modified xsi:type="dcterms:W3CDTF">2023-10-25T04:23:00Z</dcterms:modified>
</cp:coreProperties>
</file>